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AC" w:rsidRPr="00046FAC" w:rsidRDefault="00046FAC" w:rsidP="00046FAC">
      <w:pPr>
        <w:pStyle w:val="1"/>
      </w:pPr>
      <w:r w:rsidRPr="00046FAC">
        <w:t xml:space="preserve">Φύλλο </w:t>
      </w:r>
      <w:r w:rsidRPr="00046FAC">
        <w:rPr>
          <w:szCs w:val="20"/>
        </w:rPr>
        <w:t>Συμμόρφωσης</w:t>
      </w:r>
      <w:r w:rsidRPr="00046FAC">
        <w:t xml:space="preserve"> Ηλεκτρικού Επιβατηγού Οχήματος πέντε (5) θέσεων</w:t>
      </w:r>
    </w:p>
    <w:p w:rsidR="00046FAC" w:rsidRPr="00EC7DAA" w:rsidRDefault="00046FAC" w:rsidP="00046FAC">
      <w:pPr>
        <w:pStyle w:val="a0"/>
        <w:spacing w:after="0" w:line="360" w:lineRule="auto"/>
        <w:jc w:val="center"/>
        <w:rPr>
          <w:rFonts w:eastAsia="SimSun"/>
          <w:b/>
          <w:sz w:val="20"/>
          <w:szCs w:val="20"/>
          <w:u w:val="single"/>
          <w:lang w:val="el-GR" w:bidi="hi-IN"/>
        </w:rPr>
      </w:pPr>
      <w:r w:rsidRPr="00676237">
        <w:rPr>
          <w:rFonts w:eastAsia="SimSun"/>
          <w:b/>
          <w:sz w:val="20"/>
          <w:szCs w:val="20"/>
          <w:u w:val="single"/>
          <w:lang w:bidi="hi-IN"/>
        </w:rPr>
        <w:t>Φ</w:t>
      </w:r>
      <w:r>
        <w:rPr>
          <w:rFonts w:eastAsia="SimSun"/>
          <w:b/>
          <w:sz w:val="20"/>
          <w:szCs w:val="20"/>
          <w:u w:val="single"/>
          <w:lang w:val="el-GR" w:bidi="hi-IN"/>
        </w:rPr>
        <w:t>ΥΛΛΟ</w:t>
      </w:r>
      <w:r w:rsidRPr="00676237">
        <w:rPr>
          <w:rFonts w:eastAsia="SimSun"/>
          <w:b/>
          <w:sz w:val="20"/>
          <w:szCs w:val="20"/>
          <w:u w:val="single"/>
          <w:lang w:bidi="hi-IN"/>
        </w:rPr>
        <w:t xml:space="preserve"> Σ</w:t>
      </w:r>
      <w:r>
        <w:rPr>
          <w:rFonts w:eastAsia="SimSun"/>
          <w:b/>
          <w:sz w:val="20"/>
          <w:szCs w:val="20"/>
          <w:u w:val="single"/>
          <w:lang w:val="el-GR" w:bidi="hi-IN"/>
        </w:rPr>
        <w:t>ΥΜΜΟΡΦΩΣΗΣ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95"/>
        <w:gridCol w:w="4512"/>
        <w:gridCol w:w="1259"/>
        <w:gridCol w:w="1314"/>
        <w:gridCol w:w="1831"/>
      </w:tblGrid>
      <w:tr w:rsidR="00046FAC" w:rsidRPr="00502FF9" w:rsidTr="000C0CD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/>
                <w:bCs/>
                <w:sz w:val="20"/>
                <w:szCs w:val="20"/>
                <w:lang w:val="el-GR" w:eastAsia="en-US" w:bidi="el-GR"/>
              </w:rPr>
              <w:t>Α/Α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/>
                <w:bCs/>
                <w:sz w:val="20"/>
                <w:szCs w:val="20"/>
                <w:lang w:val="el-GR" w:eastAsia="en-US" w:bidi="el-GR"/>
              </w:rPr>
              <w:t>ΠΕΡΙΓΡΑΦΗ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/>
                <w:bCs/>
                <w:sz w:val="20"/>
                <w:szCs w:val="20"/>
                <w:lang w:val="el-GR" w:eastAsia="en-US" w:bidi="el-GR"/>
              </w:rPr>
              <w:t>ΑΠΑΙΤΗΣΗ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/>
                <w:bCs/>
                <w:sz w:val="20"/>
                <w:szCs w:val="20"/>
                <w:lang w:val="el-GR" w:eastAsia="en-US" w:bidi="el-GR"/>
              </w:rPr>
              <w:t>ΑΠΑΝΤΗΣΗ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/>
                <w:bCs/>
                <w:sz w:val="20"/>
                <w:szCs w:val="20"/>
                <w:lang w:val="el-GR" w:eastAsia="en-US" w:bidi="el-GR"/>
              </w:rPr>
              <w:t>ΠΑΡΑΤΗΡΗΣΕΙΣ</w:t>
            </w:r>
          </w:p>
        </w:tc>
      </w:tr>
      <w:tr w:rsidR="00046FAC" w:rsidRPr="00502FF9" w:rsidTr="000C0CD6">
        <w:tblPrEx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</w:tr>
      <w:tr w:rsidR="00046FAC" w:rsidRPr="00502FF9" w:rsidTr="000C0CD6">
        <w:tblPrEx>
          <w:tblCellMar>
            <w:left w:w="108" w:type="dxa"/>
            <w:right w:w="108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1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Γενικά 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Σ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τοιχεία</w:t>
            </w:r>
          </w:p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Όπως αναλυτικά ορίζονται στη σχετική μελέτη της διακήρυξης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</w:tr>
      <w:tr w:rsidR="00046FAC" w:rsidRPr="00502FF9" w:rsidTr="000C0CD6">
        <w:tblPrEx>
          <w:tblCellMar>
            <w:left w:w="108" w:type="dxa"/>
            <w:right w:w="108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2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Πλαίσιο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 - 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Αμάξωμα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 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-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 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Θάλαμος 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Ο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δήγησης</w:t>
            </w:r>
          </w:p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 xml:space="preserve"> Όπως αναλυτικά ορίζονται στη σχετική μελέτη της διακήρυξης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</w:tr>
      <w:tr w:rsidR="00046FAC" w:rsidRPr="00502FF9" w:rsidTr="000C0CD6">
        <w:tblPrEx>
          <w:tblCellMar>
            <w:left w:w="108" w:type="dxa"/>
            <w:right w:w="108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3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Κινητήρας</w:t>
            </w:r>
          </w:p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Όπως αναλυτικά ορίζονται στη σχετική μελέτη της διακήρυξης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</w:tr>
      <w:tr w:rsidR="00046FAC" w:rsidRPr="00502FF9" w:rsidTr="000C0CD6">
        <w:tblPrEx>
          <w:tblCellMar>
            <w:left w:w="108" w:type="dxa"/>
            <w:right w:w="108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4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Σύστημα 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Μ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ετάδοσης</w:t>
            </w:r>
          </w:p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Όπως αναλυτικά ορίζονται στη σχετική μελέτη της διακήρυξης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</w:tr>
      <w:tr w:rsidR="00046FAC" w:rsidRPr="00502FF9" w:rsidTr="000C0CD6">
        <w:tblPrEx>
          <w:tblCellMar>
            <w:left w:w="108" w:type="dxa"/>
            <w:right w:w="108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5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Σύστημα 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Π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έδησης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 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-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 Δ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ιεύθυνσης</w:t>
            </w:r>
          </w:p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Όπως αναλυτικά ορίζονται στη σχετική μελέτη της διακήρυξης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</w:tr>
      <w:tr w:rsidR="00046FAC" w:rsidRPr="00502FF9" w:rsidTr="000C0CD6">
        <w:tblPrEx>
          <w:tblCellMar>
            <w:left w:w="108" w:type="dxa"/>
            <w:right w:w="108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6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Σύστημα 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Δ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ιεύθυνσης</w:t>
            </w:r>
          </w:p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Όπως αναλυτικά ορίζονται στη σχετική μελέτη της διακήρυξης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</w:tr>
      <w:tr w:rsidR="00046FAC" w:rsidRPr="00502FF9" w:rsidTr="000C0CD6">
        <w:tblPrEx>
          <w:tblCellMar>
            <w:left w:w="108" w:type="dxa"/>
            <w:right w:w="108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7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lang w:val="el-GR" w:eastAsia="en-US" w:bidi="el-GR"/>
              </w:rPr>
            </w:pP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Ά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ξονες 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-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 Αναρτήσεις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 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-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 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Ελαστικά </w:t>
            </w:r>
          </w:p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Όπως αναλυτικά ορίζονται στη σχετική μελέτη της διακήρυξης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</w:tr>
      <w:tr w:rsidR="00046FAC" w:rsidRPr="00502FF9" w:rsidTr="000C0CD6">
        <w:tblPrEx>
          <w:tblCellMar>
            <w:left w:w="108" w:type="dxa"/>
            <w:right w:w="108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8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Ηλεκτρικό 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Σ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ύστημα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 - 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Φωτισμός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 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-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 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Σήμανση </w:t>
            </w:r>
          </w:p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Όπως αναλυτικά ορίζονται στη σχετική μελέτη της διακήρυξης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</w:tr>
      <w:tr w:rsidR="00046FAC" w:rsidRPr="00502FF9" w:rsidTr="000C0CD6">
        <w:tblPrEx>
          <w:tblCellMar>
            <w:left w:w="108" w:type="dxa"/>
            <w:right w:w="108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9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Βαφή</w:t>
            </w:r>
          </w:p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Όπως αναλυτικά ορίζονται στη σχετική μελέτη της διακήρυξης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</w:tr>
      <w:tr w:rsidR="00046FAC" w:rsidRPr="00502FF9" w:rsidTr="000C0CD6">
        <w:tblPrEx>
          <w:tblCellMar>
            <w:left w:w="108" w:type="dxa"/>
            <w:right w:w="108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10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Τεχνική 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Α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ξία (ασφάλεια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 – 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λειτουργικότητα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 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-αποδοτικότητα)</w:t>
            </w:r>
          </w:p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Όπως αναλυτικά ορίζονται στη σχετική μελέτη της διακήρυξης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</w:tr>
      <w:tr w:rsidR="00046FAC" w:rsidRPr="00502FF9" w:rsidTr="000C0CD6">
        <w:tblPrEx>
          <w:tblCellMar>
            <w:left w:w="108" w:type="dxa"/>
            <w:right w:w="108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11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Τεχνική 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Υ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 xml:space="preserve">ποστήριξη και </w:t>
            </w:r>
            <w:r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Κ</w:t>
            </w:r>
            <w:r w:rsidRPr="00502FF9">
              <w:rPr>
                <w:rFonts w:eastAsia="Calibri"/>
                <w:b/>
                <w:sz w:val="20"/>
                <w:szCs w:val="20"/>
                <w:lang w:val="el-GR" w:eastAsia="en-US" w:bidi="el-GR"/>
              </w:rPr>
              <w:t>άλυψη</w:t>
            </w:r>
          </w:p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l-GR" w:eastAsia="en-US" w:bidi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  <w:r w:rsidRPr="00502FF9">
              <w:rPr>
                <w:rFonts w:eastAsia="Calibri"/>
                <w:bCs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C" w:rsidRPr="00502FF9" w:rsidRDefault="00046FAC" w:rsidP="000C0CD6">
            <w:pPr>
              <w:widowControl w:val="0"/>
              <w:suppressAutoHyphens w:val="0"/>
              <w:autoSpaceDE w:val="0"/>
              <w:autoSpaceDN w:val="0"/>
              <w:spacing w:after="0" w:line="276" w:lineRule="auto"/>
              <w:jc w:val="left"/>
              <w:rPr>
                <w:rFonts w:eastAsia="Calibri"/>
                <w:bCs/>
                <w:sz w:val="20"/>
                <w:szCs w:val="20"/>
                <w:lang w:val="el-GR" w:eastAsia="en-US" w:bidi="el-GR"/>
              </w:rPr>
            </w:pPr>
          </w:p>
        </w:tc>
      </w:tr>
    </w:tbl>
    <w:p w:rsidR="00CF0AB8" w:rsidRDefault="00CF0AB8">
      <w:pPr>
        <w:rPr>
          <w:lang w:val="el-GR"/>
        </w:rPr>
      </w:pPr>
    </w:p>
    <w:p w:rsidR="00046FAC" w:rsidRDefault="00046FAC">
      <w:pPr>
        <w:rPr>
          <w:lang w:val="el-GR"/>
        </w:rPr>
      </w:pPr>
    </w:p>
    <w:p w:rsidR="00046FAC" w:rsidRDefault="00046FAC">
      <w:pPr>
        <w:suppressAutoHyphens w:val="0"/>
        <w:spacing w:after="200" w:line="276" w:lineRule="auto"/>
        <w:jc w:val="left"/>
        <w:rPr>
          <w:lang w:val="el-GR"/>
        </w:rPr>
      </w:pPr>
      <w:r>
        <w:rPr>
          <w:lang w:val="el-GR"/>
        </w:rPr>
        <w:br w:type="page"/>
      </w:r>
    </w:p>
    <w:p w:rsidR="00046FAC" w:rsidRDefault="00046FAC" w:rsidP="00046FAC">
      <w:pPr>
        <w:pStyle w:val="1"/>
      </w:pPr>
      <w:r>
        <w:lastRenderedPageBreak/>
        <w:t xml:space="preserve">Φύλλα Συμμόρφωσης </w:t>
      </w:r>
      <w:r w:rsidRPr="008D734C">
        <w:t>Ηλεκτροκίνητ</w:t>
      </w:r>
      <w:r>
        <w:t xml:space="preserve">ου </w:t>
      </w:r>
      <w:r>
        <w:rPr>
          <w:lang w:val="en-US"/>
        </w:rPr>
        <w:t>Mini</w:t>
      </w:r>
      <w:r w:rsidRPr="00F11359">
        <w:t xml:space="preserve"> </w:t>
      </w:r>
      <w:r>
        <w:t>Αστικού</w:t>
      </w:r>
      <w:r w:rsidRPr="008D734C">
        <w:t xml:space="preserve"> Λεωφορείο</w:t>
      </w:r>
      <w:r>
        <w:t>υ</w:t>
      </w:r>
      <w:r w:rsidRPr="008D734C">
        <w:t xml:space="preserve"> </w:t>
      </w:r>
      <w:r>
        <w:br/>
        <w:t xml:space="preserve">χωρητικότητας </w:t>
      </w:r>
      <w:proofErr w:type="spellStart"/>
      <w:r>
        <w:t>κατ΄</w:t>
      </w:r>
      <w:proofErr w:type="spellEnd"/>
      <w:r>
        <w:t xml:space="preserve"> ελάχιστον 22 επιβατών</w:t>
      </w:r>
    </w:p>
    <w:p w:rsidR="00046FAC" w:rsidRPr="00046FAC" w:rsidRDefault="00046FAC" w:rsidP="00046FAC">
      <w:pPr>
        <w:pStyle w:val="a5"/>
        <w:spacing w:before="146"/>
        <w:ind w:left="180" w:right="798"/>
        <w:jc w:val="center"/>
        <w:rPr>
          <w:rFonts w:cs="Calibri"/>
          <w:b/>
          <w:bCs/>
          <w:sz w:val="20"/>
          <w:szCs w:val="20"/>
          <w:u w:val="single"/>
          <w:lang w:val="el-GR"/>
        </w:rPr>
      </w:pPr>
      <w:r w:rsidRPr="00046FAC">
        <w:rPr>
          <w:rFonts w:cs="Calibri"/>
          <w:b/>
          <w:bCs/>
          <w:sz w:val="20"/>
          <w:szCs w:val="20"/>
          <w:u w:val="single"/>
          <w:lang w:val="el-GR"/>
        </w:rPr>
        <w:t>ΦΥΛΛΟ ΣΥΜΜΟΡΦΩΣΗΣ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3915"/>
        <w:gridCol w:w="1235"/>
        <w:gridCol w:w="1359"/>
        <w:gridCol w:w="2628"/>
      </w:tblGrid>
      <w:tr w:rsidR="00046FAC" w:rsidRPr="00046FAC" w:rsidTr="000C0CD6">
        <w:trPr>
          <w:jc w:val="center"/>
        </w:trPr>
        <w:tc>
          <w:tcPr>
            <w:tcW w:w="545" w:type="dxa"/>
            <w:shd w:val="clear" w:color="auto" w:fill="BDD6EE"/>
          </w:tcPr>
          <w:p w:rsidR="00046FAC" w:rsidRPr="00046FAC" w:rsidRDefault="00046FAC" w:rsidP="000C0CD6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l-GR"/>
              </w:rPr>
            </w:pPr>
            <w:r w:rsidRPr="00046FAC">
              <w:rPr>
                <w:rFonts w:eastAsia="Calibri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915" w:type="dxa"/>
            <w:shd w:val="clear" w:color="auto" w:fill="BDD6EE"/>
          </w:tcPr>
          <w:p w:rsidR="00046FAC" w:rsidRPr="00046FAC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el-GR"/>
              </w:rPr>
            </w:pPr>
            <w:r w:rsidRPr="00046FAC">
              <w:rPr>
                <w:rFonts w:eastAsia="Calibri"/>
                <w:b/>
                <w:sz w:val="20"/>
                <w:szCs w:val="20"/>
                <w:lang w:val="el-GR"/>
              </w:rPr>
              <w:t>ΠΕΡΙΓΡΑΦΗ</w:t>
            </w:r>
          </w:p>
        </w:tc>
        <w:tc>
          <w:tcPr>
            <w:tcW w:w="1235" w:type="dxa"/>
            <w:shd w:val="clear" w:color="auto" w:fill="BDD6EE"/>
          </w:tcPr>
          <w:p w:rsidR="00046FAC" w:rsidRPr="00046FAC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el-GR"/>
              </w:rPr>
            </w:pPr>
            <w:r w:rsidRPr="00046FAC">
              <w:rPr>
                <w:rFonts w:eastAsia="Calibri"/>
                <w:b/>
                <w:sz w:val="20"/>
                <w:szCs w:val="20"/>
                <w:lang w:val="el-GR"/>
              </w:rPr>
              <w:t>ΑΠΑΙΤΗΣΗ</w:t>
            </w:r>
          </w:p>
        </w:tc>
        <w:tc>
          <w:tcPr>
            <w:tcW w:w="1359" w:type="dxa"/>
            <w:shd w:val="clear" w:color="auto" w:fill="BDD6EE"/>
          </w:tcPr>
          <w:p w:rsidR="00046FAC" w:rsidRPr="00B2772F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el-GR"/>
              </w:rPr>
            </w:pPr>
            <w:r>
              <w:rPr>
                <w:rFonts w:eastAsia="Calibri"/>
                <w:b/>
                <w:sz w:val="20"/>
                <w:szCs w:val="20"/>
                <w:lang w:val="el-GR"/>
              </w:rPr>
              <w:t>ΑΠΑΝΤΗΣΗ</w:t>
            </w:r>
          </w:p>
        </w:tc>
        <w:tc>
          <w:tcPr>
            <w:tcW w:w="2628" w:type="dxa"/>
            <w:shd w:val="clear" w:color="auto" w:fill="BDD6EE"/>
          </w:tcPr>
          <w:p w:rsidR="00046FAC" w:rsidRPr="00046FAC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el-GR"/>
              </w:rPr>
            </w:pPr>
            <w:r w:rsidRPr="00046FAC">
              <w:rPr>
                <w:rFonts w:eastAsia="Calibri"/>
                <w:b/>
                <w:sz w:val="20"/>
                <w:szCs w:val="20"/>
                <w:lang w:val="el-GR"/>
              </w:rPr>
              <w:t>ΑΠΑΙΤΟΥΜΕΝΗ ΤΕΚΜΗΡΙΩΣΗ</w:t>
            </w:r>
          </w:p>
        </w:tc>
      </w:tr>
      <w:tr w:rsidR="00046FAC" w:rsidRPr="000617D4" w:rsidTr="000C0CD6">
        <w:trPr>
          <w:jc w:val="center"/>
        </w:trPr>
        <w:tc>
          <w:tcPr>
            <w:tcW w:w="545" w:type="dxa"/>
          </w:tcPr>
          <w:p w:rsidR="00046FAC" w:rsidRPr="00046FA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  <w:r w:rsidRPr="00046FAC">
              <w:rPr>
                <w:rFonts w:eastAsia="Calibri"/>
                <w:sz w:val="20"/>
                <w:szCs w:val="20"/>
                <w:lang w:val="el-GR"/>
              </w:rPr>
              <w:t>1</w:t>
            </w:r>
          </w:p>
        </w:tc>
        <w:tc>
          <w:tcPr>
            <w:tcW w:w="391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Όπως αναλυτικά ορίζονται στην ενότητα </w:t>
            </w:r>
            <w:r w:rsidRPr="008D734C">
              <w:rPr>
                <w:rFonts w:eastAsia="Calibri"/>
                <w:b/>
                <w:bCs/>
                <w:iCs/>
                <w:sz w:val="20"/>
                <w:szCs w:val="20"/>
                <w:lang w:val="el-GR"/>
              </w:rPr>
              <w:t>Γενικά Στοιχεία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 </w:t>
            </w:r>
            <w:r w:rsidRPr="008D734C">
              <w:rPr>
                <w:rFonts w:eastAsia="Calibri"/>
                <w:sz w:val="20"/>
                <w:szCs w:val="20"/>
                <w:lang w:val="el-GR"/>
              </w:rPr>
              <w:t>της σχετικής μελέτης.</w:t>
            </w:r>
          </w:p>
        </w:tc>
        <w:tc>
          <w:tcPr>
            <w:tcW w:w="123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ΝΑΙ</w:t>
            </w:r>
          </w:p>
        </w:tc>
        <w:tc>
          <w:tcPr>
            <w:tcW w:w="1359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8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</w:tr>
      <w:tr w:rsidR="00046FAC" w:rsidRPr="000617D4" w:rsidTr="000C0CD6">
        <w:trPr>
          <w:jc w:val="center"/>
        </w:trPr>
        <w:tc>
          <w:tcPr>
            <w:tcW w:w="54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91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Όπως αναλυτικά ορίζονται στην ενότητα </w:t>
            </w:r>
            <w:r w:rsidRPr="008D734C">
              <w:rPr>
                <w:rFonts w:eastAsia="Calibri"/>
                <w:b/>
                <w:bCs/>
                <w:iCs/>
                <w:sz w:val="20"/>
                <w:szCs w:val="20"/>
                <w:lang w:val="el-GR"/>
              </w:rPr>
              <w:t>Αριθμός Επιβατών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 </w:t>
            </w:r>
            <w:r w:rsidRPr="008D734C">
              <w:rPr>
                <w:rFonts w:eastAsia="Calibri"/>
                <w:sz w:val="20"/>
                <w:szCs w:val="20"/>
                <w:lang w:val="el-GR"/>
              </w:rPr>
              <w:t>της σχετικής μελέτης.</w:t>
            </w:r>
          </w:p>
        </w:tc>
        <w:tc>
          <w:tcPr>
            <w:tcW w:w="123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ΝΑΙ</w:t>
            </w:r>
          </w:p>
        </w:tc>
        <w:tc>
          <w:tcPr>
            <w:tcW w:w="1359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8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</w:tr>
      <w:tr w:rsidR="00046FAC" w:rsidRPr="000617D4" w:rsidTr="000C0CD6">
        <w:trPr>
          <w:jc w:val="center"/>
        </w:trPr>
        <w:tc>
          <w:tcPr>
            <w:tcW w:w="54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1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Όπως αναλυτικά ορίζονται στην ενότητα 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Κύριες Διαστάσεις Οχήματος </w:t>
            </w:r>
            <w:r w:rsidRPr="008D734C">
              <w:rPr>
                <w:rFonts w:eastAsia="Calibri"/>
                <w:sz w:val="20"/>
                <w:szCs w:val="20"/>
                <w:lang w:val="el-GR"/>
              </w:rPr>
              <w:t>της σχετικής μελέτης.</w:t>
            </w:r>
          </w:p>
        </w:tc>
        <w:tc>
          <w:tcPr>
            <w:tcW w:w="123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ΝΑΙ</w:t>
            </w:r>
          </w:p>
        </w:tc>
        <w:tc>
          <w:tcPr>
            <w:tcW w:w="1359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8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</w:tr>
      <w:tr w:rsidR="00046FAC" w:rsidRPr="000617D4" w:rsidTr="000C0CD6">
        <w:trPr>
          <w:jc w:val="center"/>
        </w:trPr>
        <w:tc>
          <w:tcPr>
            <w:tcW w:w="54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91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Όπως αναλυτικά ορίζονται στην ενότητα 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Πρόσβαση Επιβατών &amp; </w:t>
            </w:r>
            <w:proofErr w:type="spellStart"/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>ΑμεΑ</w:t>
            </w:r>
            <w:proofErr w:type="spellEnd"/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 στο Λεωφορείο </w:t>
            </w:r>
            <w:r w:rsidRPr="008D734C">
              <w:rPr>
                <w:rFonts w:eastAsia="Calibri"/>
                <w:sz w:val="20"/>
                <w:szCs w:val="20"/>
                <w:lang w:val="el-GR"/>
              </w:rPr>
              <w:t>της σχετικής μελέτης.</w:t>
            </w:r>
          </w:p>
        </w:tc>
        <w:tc>
          <w:tcPr>
            <w:tcW w:w="123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ΝΑΙ</w:t>
            </w:r>
          </w:p>
        </w:tc>
        <w:tc>
          <w:tcPr>
            <w:tcW w:w="1359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8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</w:tr>
      <w:tr w:rsidR="00046FAC" w:rsidRPr="000617D4" w:rsidTr="000C0CD6">
        <w:trPr>
          <w:jc w:val="center"/>
        </w:trPr>
        <w:tc>
          <w:tcPr>
            <w:tcW w:w="54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91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Όπως αναλυτικά ορίζονται στην ενότητα 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>Οδική Συμπεριφορά - Επιδόσεις</w:t>
            </w: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 της σχετικής μελέτης.</w:t>
            </w:r>
          </w:p>
        </w:tc>
        <w:tc>
          <w:tcPr>
            <w:tcW w:w="123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ΝΑΙ</w:t>
            </w:r>
          </w:p>
        </w:tc>
        <w:tc>
          <w:tcPr>
            <w:tcW w:w="1359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8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</w:tr>
      <w:tr w:rsidR="00046FAC" w:rsidRPr="000617D4" w:rsidTr="000C0CD6">
        <w:trPr>
          <w:jc w:val="center"/>
        </w:trPr>
        <w:tc>
          <w:tcPr>
            <w:tcW w:w="54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91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Όπως αναλυτικά ορίζονται στην ενότητα 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>Αυτονομία</w:t>
            </w: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 της σχετικής μελέτης.</w:t>
            </w:r>
          </w:p>
        </w:tc>
        <w:tc>
          <w:tcPr>
            <w:tcW w:w="123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ΝΑΙ</w:t>
            </w:r>
          </w:p>
        </w:tc>
        <w:tc>
          <w:tcPr>
            <w:tcW w:w="1359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8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</w:tr>
      <w:tr w:rsidR="00046FAC" w:rsidRPr="000617D4" w:rsidTr="000C0CD6">
        <w:trPr>
          <w:jc w:val="center"/>
        </w:trPr>
        <w:tc>
          <w:tcPr>
            <w:tcW w:w="54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91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Όπως αναλυτικά ορίζονται στην ενότητα 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Τροχοί </w:t>
            </w:r>
            <w:r>
              <w:rPr>
                <w:rFonts w:eastAsia="Calibri"/>
                <w:b/>
                <w:sz w:val="20"/>
                <w:szCs w:val="20"/>
                <w:lang w:val="el-GR"/>
              </w:rPr>
              <w:t>-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 Αναρτήσεις - Άξονες</w:t>
            </w: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 της σχετικής μελέτης.</w:t>
            </w:r>
          </w:p>
        </w:tc>
        <w:tc>
          <w:tcPr>
            <w:tcW w:w="123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ΝΑΙ</w:t>
            </w:r>
          </w:p>
        </w:tc>
        <w:tc>
          <w:tcPr>
            <w:tcW w:w="1359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8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</w:tr>
      <w:tr w:rsidR="00046FAC" w:rsidRPr="000617D4" w:rsidTr="000C0CD6">
        <w:trPr>
          <w:jc w:val="center"/>
        </w:trPr>
        <w:tc>
          <w:tcPr>
            <w:tcW w:w="54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91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Όπως αναλυτικά ορίζονται στην ενότητα 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>Εσωτερική Διαμόρφωση Καμπίνας &amp; Υλικά Κατασκευής</w:t>
            </w: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 της σχετικής μελέτης.</w:t>
            </w:r>
          </w:p>
        </w:tc>
        <w:tc>
          <w:tcPr>
            <w:tcW w:w="123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ΝΑΙ</w:t>
            </w:r>
          </w:p>
        </w:tc>
        <w:tc>
          <w:tcPr>
            <w:tcW w:w="1359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8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</w:tr>
      <w:tr w:rsidR="00046FAC" w:rsidRPr="000617D4" w:rsidTr="000C0CD6">
        <w:trPr>
          <w:jc w:val="center"/>
        </w:trPr>
        <w:tc>
          <w:tcPr>
            <w:tcW w:w="54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91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Όπως αναλυτικά ορίζονται στην ενότητα 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>Παράθυρα &amp; Κλιματισμός (Αερισμός</w:t>
            </w:r>
            <w:r>
              <w:rPr>
                <w:rFonts w:eastAsia="Calibri"/>
                <w:b/>
                <w:sz w:val="20"/>
                <w:szCs w:val="20"/>
                <w:lang w:val="el-GR"/>
              </w:rPr>
              <w:t xml:space="preserve"> - 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>Ψύξη</w:t>
            </w:r>
            <w:r>
              <w:rPr>
                <w:rFonts w:eastAsia="Calibri"/>
                <w:b/>
                <w:sz w:val="20"/>
                <w:szCs w:val="20"/>
                <w:lang w:val="el-GR"/>
              </w:rPr>
              <w:t xml:space="preserve"> 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>-</w:t>
            </w:r>
            <w:r>
              <w:rPr>
                <w:rFonts w:eastAsia="Calibri"/>
                <w:b/>
                <w:sz w:val="20"/>
                <w:szCs w:val="20"/>
                <w:lang w:val="el-GR"/>
              </w:rPr>
              <w:t xml:space="preserve"> 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>Θέρμανση)</w:t>
            </w: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 της σχετικής μελέτης.</w:t>
            </w:r>
          </w:p>
        </w:tc>
        <w:tc>
          <w:tcPr>
            <w:tcW w:w="123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ΝΑΙ</w:t>
            </w:r>
          </w:p>
        </w:tc>
        <w:tc>
          <w:tcPr>
            <w:tcW w:w="1359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8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</w:tr>
      <w:tr w:rsidR="00046FAC" w:rsidRPr="000617D4" w:rsidTr="000C0CD6">
        <w:trPr>
          <w:jc w:val="center"/>
        </w:trPr>
        <w:tc>
          <w:tcPr>
            <w:tcW w:w="54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91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Όπως αναλυτικά ορίζονται στην ενότητα 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Ηλεκτροκινητήρας, </w:t>
            </w:r>
            <w:r>
              <w:rPr>
                <w:rFonts w:eastAsia="Calibri"/>
                <w:b/>
                <w:sz w:val="20"/>
                <w:szCs w:val="20"/>
                <w:lang w:val="el-GR"/>
              </w:rPr>
              <w:t>Σ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υσσωρευτές &amp; </w:t>
            </w:r>
            <w:r>
              <w:rPr>
                <w:rFonts w:eastAsia="Calibri"/>
                <w:b/>
                <w:sz w:val="20"/>
                <w:szCs w:val="20"/>
                <w:lang w:val="el-GR"/>
              </w:rPr>
              <w:t>Σ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υστήματα </w:t>
            </w:r>
            <w:r>
              <w:rPr>
                <w:rFonts w:eastAsia="Calibri"/>
                <w:b/>
                <w:sz w:val="20"/>
                <w:szCs w:val="20"/>
                <w:lang w:val="el-GR"/>
              </w:rPr>
              <w:t>Φ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όρτισης, </w:t>
            </w:r>
            <w:r>
              <w:rPr>
                <w:rFonts w:eastAsia="Calibri"/>
                <w:b/>
                <w:sz w:val="20"/>
                <w:szCs w:val="20"/>
                <w:lang w:val="el-GR"/>
              </w:rPr>
              <w:t>Σ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υστήματα </w:t>
            </w:r>
            <w:r>
              <w:rPr>
                <w:rFonts w:eastAsia="Calibri"/>
                <w:b/>
                <w:sz w:val="20"/>
                <w:szCs w:val="20"/>
                <w:lang w:val="el-GR"/>
              </w:rPr>
              <w:t>Π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έδησης &amp; </w:t>
            </w:r>
            <w:r>
              <w:rPr>
                <w:rFonts w:eastAsia="Calibri"/>
                <w:b/>
                <w:sz w:val="20"/>
                <w:szCs w:val="20"/>
                <w:lang w:val="el-GR"/>
              </w:rPr>
              <w:t>Α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νάκτησης </w:t>
            </w:r>
            <w:r>
              <w:rPr>
                <w:rFonts w:eastAsia="Calibri"/>
                <w:b/>
                <w:sz w:val="20"/>
                <w:szCs w:val="20"/>
                <w:lang w:val="el-GR"/>
              </w:rPr>
              <w:t>Ε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νέργειας </w:t>
            </w:r>
            <w:r w:rsidRPr="008D734C">
              <w:rPr>
                <w:rFonts w:eastAsia="Calibri"/>
                <w:sz w:val="20"/>
                <w:szCs w:val="20"/>
                <w:lang w:val="el-GR"/>
              </w:rPr>
              <w:t>της σχετικής μελέτης.</w:t>
            </w:r>
          </w:p>
        </w:tc>
        <w:tc>
          <w:tcPr>
            <w:tcW w:w="123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ΝΑΙ</w:t>
            </w:r>
          </w:p>
        </w:tc>
        <w:tc>
          <w:tcPr>
            <w:tcW w:w="1359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8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</w:tr>
      <w:tr w:rsidR="00046FAC" w:rsidRPr="000617D4" w:rsidTr="000C0CD6">
        <w:trPr>
          <w:jc w:val="center"/>
        </w:trPr>
        <w:tc>
          <w:tcPr>
            <w:tcW w:w="54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91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Όπως αναλυτικά ορίζονται στην ενότητα 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Ηλεκτρολογική </w:t>
            </w:r>
            <w:r>
              <w:rPr>
                <w:rFonts w:eastAsia="Calibri"/>
                <w:b/>
                <w:sz w:val="20"/>
                <w:szCs w:val="20"/>
                <w:lang w:val="el-GR"/>
              </w:rPr>
              <w:t>Ε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γκατάσταση, </w:t>
            </w:r>
            <w:r>
              <w:rPr>
                <w:rFonts w:eastAsia="Calibri"/>
                <w:b/>
                <w:sz w:val="20"/>
                <w:szCs w:val="20"/>
                <w:lang w:val="el-GR"/>
              </w:rPr>
              <w:t>Π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ληροφόρηση &amp; </w:t>
            </w:r>
            <w:r>
              <w:rPr>
                <w:rFonts w:eastAsia="Calibri"/>
                <w:b/>
                <w:sz w:val="20"/>
                <w:szCs w:val="20"/>
                <w:lang w:val="el-GR"/>
              </w:rPr>
              <w:t>Β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οηθητικά </w:t>
            </w:r>
            <w:r>
              <w:rPr>
                <w:rFonts w:eastAsia="Calibri"/>
                <w:b/>
                <w:sz w:val="20"/>
                <w:szCs w:val="20"/>
                <w:lang w:val="el-GR"/>
              </w:rPr>
              <w:t>Σ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υστήματα </w:t>
            </w:r>
            <w:r w:rsidRPr="008D734C">
              <w:rPr>
                <w:rFonts w:eastAsia="Calibri"/>
                <w:sz w:val="20"/>
                <w:szCs w:val="20"/>
                <w:lang w:val="el-GR"/>
              </w:rPr>
              <w:t>της σχετικής μελέτης.</w:t>
            </w:r>
          </w:p>
        </w:tc>
        <w:tc>
          <w:tcPr>
            <w:tcW w:w="123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ΝΑΙ</w:t>
            </w:r>
          </w:p>
        </w:tc>
        <w:tc>
          <w:tcPr>
            <w:tcW w:w="1359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8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</w:tr>
      <w:tr w:rsidR="00046FAC" w:rsidRPr="000617D4" w:rsidTr="000C0CD6">
        <w:trPr>
          <w:jc w:val="center"/>
        </w:trPr>
        <w:tc>
          <w:tcPr>
            <w:tcW w:w="54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91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Όπως αναλυτικά ορίζονται στην ενότητα 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Εξωτερικός </w:t>
            </w:r>
            <w:r>
              <w:rPr>
                <w:rFonts w:eastAsia="Calibri"/>
                <w:b/>
                <w:sz w:val="20"/>
                <w:szCs w:val="20"/>
                <w:lang w:val="el-GR"/>
              </w:rPr>
              <w:t>Χ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ρωματισμός - Βαφή </w:t>
            </w:r>
            <w:r w:rsidRPr="008D734C">
              <w:rPr>
                <w:rFonts w:eastAsia="Calibri"/>
                <w:sz w:val="20"/>
                <w:szCs w:val="20"/>
                <w:lang w:val="el-GR"/>
              </w:rPr>
              <w:t>της σχετικής μελέτης.</w:t>
            </w:r>
          </w:p>
        </w:tc>
        <w:tc>
          <w:tcPr>
            <w:tcW w:w="123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ΝΑΙ</w:t>
            </w:r>
          </w:p>
        </w:tc>
        <w:tc>
          <w:tcPr>
            <w:tcW w:w="1359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8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</w:tr>
      <w:tr w:rsidR="00046FAC" w:rsidRPr="000617D4" w:rsidTr="000C0CD6">
        <w:trPr>
          <w:jc w:val="center"/>
        </w:trPr>
        <w:tc>
          <w:tcPr>
            <w:tcW w:w="54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391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Όπως αναλυτικά ορίζονται στην ενότητα 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Ασφάλεια - Λειτουργικότητα - Αποδοτικότητα </w:t>
            </w:r>
            <w:r w:rsidRPr="008D734C">
              <w:rPr>
                <w:rFonts w:eastAsia="Calibri"/>
                <w:sz w:val="20"/>
                <w:szCs w:val="20"/>
                <w:lang w:val="el-GR"/>
              </w:rPr>
              <w:t>της σχετικής μελέτης.</w:t>
            </w:r>
          </w:p>
        </w:tc>
        <w:tc>
          <w:tcPr>
            <w:tcW w:w="123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ΝΑΙ</w:t>
            </w:r>
          </w:p>
        </w:tc>
        <w:tc>
          <w:tcPr>
            <w:tcW w:w="1359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8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</w:tr>
      <w:tr w:rsidR="00046FAC" w:rsidRPr="000617D4" w:rsidTr="000C0CD6">
        <w:trPr>
          <w:jc w:val="center"/>
        </w:trPr>
        <w:tc>
          <w:tcPr>
            <w:tcW w:w="54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91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Όπως αναλυτικά ορίζονται στην ενότητα 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Εγγύηση Καλής Λειτουργίας </w:t>
            </w: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της σχετικής </w:t>
            </w:r>
            <w:r w:rsidRPr="008D734C">
              <w:rPr>
                <w:rFonts w:eastAsia="Calibri"/>
                <w:sz w:val="20"/>
                <w:szCs w:val="20"/>
                <w:lang w:val="el-GR"/>
              </w:rPr>
              <w:lastRenderedPageBreak/>
              <w:t>μελέτης.</w:t>
            </w:r>
          </w:p>
        </w:tc>
        <w:tc>
          <w:tcPr>
            <w:tcW w:w="123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lastRenderedPageBreak/>
              <w:t>ΝΑΙ</w:t>
            </w:r>
          </w:p>
        </w:tc>
        <w:tc>
          <w:tcPr>
            <w:tcW w:w="1359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8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</w:tr>
      <w:tr w:rsidR="00046FAC" w:rsidRPr="008D734C" w:rsidTr="000C0CD6">
        <w:trPr>
          <w:jc w:val="center"/>
        </w:trPr>
        <w:tc>
          <w:tcPr>
            <w:tcW w:w="54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391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Όπως αναλυτικά ορίζονται στην ενότητα 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Ποιότητα Εξυπηρέτησης (Τεχνική Βοήθεια - Συντήρηση - Ανταλλακτικά) </w:t>
            </w:r>
            <w:r w:rsidRPr="008D734C">
              <w:rPr>
                <w:rFonts w:eastAsia="Calibri"/>
                <w:sz w:val="20"/>
                <w:szCs w:val="20"/>
                <w:lang w:val="el-GR"/>
              </w:rPr>
              <w:t>της σχετικής μελέτης.</w:t>
            </w:r>
          </w:p>
        </w:tc>
        <w:tc>
          <w:tcPr>
            <w:tcW w:w="123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>
              <w:rPr>
                <w:rFonts w:eastAsia="Calibri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359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2628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046FAC" w:rsidRPr="008D734C" w:rsidTr="000C0CD6">
        <w:trPr>
          <w:jc w:val="center"/>
        </w:trPr>
        <w:tc>
          <w:tcPr>
            <w:tcW w:w="54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391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Όπως αναλυτικά ορίζονται στην ενότητα  </w:t>
            </w:r>
            <w:r w:rsidRPr="008D734C">
              <w:rPr>
                <w:rFonts w:eastAsia="Calibri"/>
                <w:b/>
                <w:iCs/>
                <w:sz w:val="20"/>
                <w:szCs w:val="20"/>
                <w:lang w:val="el-GR"/>
              </w:rPr>
              <w:t>Εκπαίδευση και Επίδειξη Λειτουργίας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 </w:t>
            </w:r>
            <w:r w:rsidRPr="008D734C">
              <w:rPr>
                <w:rFonts w:eastAsia="Calibri"/>
                <w:sz w:val="20"/>
                <w:szCs w:val="20"/>
                <w:lang w:val="el-GR"/>
              </w:rPr>
              <w:t>της σχετικής μελέτης.</w:t>
            </w:r>
          </w:p>
        </w:tc>
        <w:tc>
          <w:tcPr>
            <w:tcW w:w="123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>
              <w:rPr>
                <w:rFonts w:eastAsia="Calibri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359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2628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046FAC" w:rsidRPr="008D734C" w:rsidTr="000C0CD6">
        <w:trPr>
          <w:jc w:val="center"/>
        </w:trPr>
        <w:tc>
          <w:tcPr>
            <w:tcW w:w="545" w:type="dxa"/>
          </w:tcPr>
          <w:p w:rsidR="00046FAC" w:rsidRPr="00676237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76237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391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  <w:r w:rsidRPr="008D734C">
              <w:rPr>
                <w:rFonts w:eastAsia="Calibri"/>
                <w:sz w:val="20"/>
                <w:szCs w:val="20"/>
                <w:lang w:val="el-GR"/>
              </w:rPr>
              <w:t xml:space="preserve">Όπως αναλυτικά ορίζονται στην ενότητα  </w:t>
            </w:r>
            <w:r w:rsidRPr="008D734C">
              <w:rPr>
                <w:rFonts w:eastAsia="Calibri"/>
                <w:b/>
                <w:iCs/>
                <w:sz w:val="20"/>
                <w:szCs w:val="20"/>
                <w:lang w:val="el-GR"/>
              </w:rPr>
              <w:t>Χρόνος Παράδοσης</w:t>
            </w:r>
            <w:r w:rsidRPr="008D734C">
              <w:rPr>
                <w:rFonts w:eastAsia="Calibri"/>
                <w:b/>
                <w:sz w:val="20"/>
                <w:szCs w:val="20"/>
                <w:lang w:val="el-GR"/>
              </w:rPr>
              <w:t xml:space="preserve"> </w:t>
            </w:r>
            <w:r w:rsidRPr="008D734C">
              <w:rPr>
                <w:rFonts w:eastAsia="Calibri"/>
                <w:sz w:val="20"/>
                <w:szCs w:val="20"/>
                <w:lang w:val="el-GR"/>
              </w:rPr>
              <w:t>της σχετικής μελέτης.</w:t>
            </w:r>
          </w:p>
        </w:tc>
        <w:tc>
          <w:tcPr>
            <w:tcW w:w="1235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>
              <w:rPr>
                <w:rFonts w:eastAsia="Calibri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359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2628" w:type="dxa"/>
          </w:tcPr>
          <w:p w:rsidR="00046FAC" w:rsidRPr="008D734C" w:rsidRDefault="00046FAC" w:rsidP="000C0CD6">
            <w:pPr>
              <w:suppressAutoHyphens w:val="0"/>
              <w:autoSpaceDE w:val="0"/>
              <w:autoSpaceDN w:val="0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</w:tbl>
    <w:p w:rsidR="00046FAC" w:rsidRDefault="00046FAC" w:rsidP="00046FAC">
      <w:pPr>
        <w:pStyle w:val="a6"/>
        <w:spacing w:before="80" w:after="80" w:line="276" w:lineRule="auto"/>
        <w:ind w:left="0"/>
        <w:rPr>
          <w:rFonts w:cs="Calibri"/>
          <w:b/>
          <w:bCs/>
          <w:u w:val="single"/>
          <w:lang w:val="el-GR"/>
        </w:rPr>
      </w:pPr>
    </w:p>
    <w:p w:rsidR="00046FAC" w:rsidRDefault="00046FAC">
      <w:pPr>
        <w:suppressAutoHyphens w:val="0"/>
        <w:spacing w:after="200" w:line="276" w:lineRule="auto"/>
        <w:jc w:val="left"/>
        <w:rPr>
          <w:lang w:val="el-GR"/>
        </w:rPr>
      </w:pPr>
      <w:r>
        <w:rPr>
          <w:lang w:val="el-GR"/>
        </w:rPr>
        <w:br w:type="page"/>
      </w:r>
    </w:p>
    <w:p w:rsidR="00046FAC" w:rsidRDefault="00046FAC" w:rsidP="00046FAC">
      <w:pPr>
        <w:pStyle w:val="1"/>
      </w:pPr>
      <w:r>
        <w:lastRenderedPageBreak/>
        <w:t xml:space="preserve">Φύλλα Συμμόρφωσης </w:t>
      </w:r>
      <w:r w:rsidRPr="008D734C">
        <w:t>Σταθμ</w:t>
      </w:r>
      <w:r>
        <w:t>ών</w:t>
      </w:r>
      <w:r w:rsidRPr="008D734C">
        <w:t xml:space="preserve"> Φόρτισης τύπου </w:t>
      </w:r>
      <w:r w:rsidRPr="00676237">
        <w:rPr>
          <w:lang w:val="en-US"/>
        </w:rPr>
        <w:t>DC</w:t>
      </w:r>
      <w:r w:rsidRPr="008D734C">
        <w:t xml:space="preserve"> ελάχιστης ονομαστικής ισχύος 50 </w:t>
      </w:r>
      <w:r w:rsidRPr="00676237">
        <w:rPr>
          <w:lang w:val="en-US"/>
        </w:rPr>
        <w:t>kW</w:t>
      </w:r>
      <w:r>
        <w:t>, συνοδευόμενοι από λογισμικό διαχείρισης φορτιστών</w:t>
      </w:r>
    </w:p>
    <w:p w:rsidR="00046FAC" w:rsidRPr="00046FAC" w:rsidRDefault="00046FAC" w:rsidP="00046FAC">
      <w:pPr>
        <w:rPr>
          <w:lang w:val="el-GR"/>
        </w:rPr>
      </w:pPr>
    </w:p>
    <w:p w:rsidR="00046FAC" w:rsidRDefault="00046FAC" w:rsidP="00046FAC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Φ</w:t>
      </w:r>
      <w:r>
        <w:rPr>
          <w:b/>
          <w:bCs/>
          <w:sz w:val="20"/>
          <w:szCs w:val="20"/>
          <w:u w:val="single"/>
          <w:lang w:val="el-GR"/>
        </w:rPr>
        <w:t>ΥΛΛΟ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  <w:lang w:val="el-GR"/>
        </w:rPr>
        <w:t>ΣΥΜΜΟΡΦΩΣΗΣ</w:t>
      </w:r>
    </w:p>
    <w:tbl>
      <w:tblPr>
        <w:tblW w:w="10448" w:type="dxa"/>
        <w:jc w:val="center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6"/>
        <w:gridCol w:w="5218"/>
        <w:gridCol w:w="1176"/>
        <w:gridCol w:w="1419"/>
        <w:gridCol w:w="1559"/>
      </w:tblGrid>
      <w:tr w:rsidR="00046FAC" w:rsidTr="000C0CD6">
        <w:trPr>
          <w:jc w:val="center"/>
        </w:trPr>
        <w:tc>
          <w:tcPr>
            <w:tcW w:w="1076" w:type="dxa"/>
            <w:shd w:val="clear" w:color="auto" w:fill="D9E2F3"/>
            <w:vAlign w:val="center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Α/</w:t>
            </w:r>
            <w:r>
              <w:rPr>
                <w:b/>
                <w:color w:val="000000"/>
                <w:sz w:val="20"/>
                <w:szCs w:val="20"/>
              </w:rPr>
              <w:t>Α</w:t>
            </w:r>
          </w:p>
        </w:tc>
        <w:tc>
          <w:tcPr>
            <w:tcW w:w="5218" w:type="dxa"/>
            <w:shd w:val="clear" w:color="auto" w:fill="BDD6EE"/>
            <w:vAlign w:val="center"/>
          </w:tcPr>
          <w:p w:rsidR="00046FAC" w:rsidRDefault="00046FAC" w:rsidP="000C0CD6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ΠΕΡΙΓΡΑΦΗ</w:t>
            </w:r>
          </w:p>
        </w:tc>
        <w:tc>
          <w:tcPr>
            <w:tcW w:w="1176" w:type="dxa"/>
            <w:shd w:val="clear" w:color="auto" w:fill="BDD6EE"/>
            <w:vAlign w:val="center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ΑΠΑΙΤΗΣΗ</w:t>
            </w:r>
          </w:p>
        </w:tc>
        <w:tc>
          <w:tcPr>
            <w:tcW w:w="1419" w:type="dxa"/>
            <w:shd w:val="clear" w:color="auto" w:fill="BDD6EE"/>
            <w:vAlign w:val="center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ΑΠΑΝΤΗΣΗ</w:t>
            </w:r>
          </w:p>
        </w:tc>
        <w:tc>
          <w:tcPr>
            <w:tcW w:w="1559" w:type="dxa"/>
            <w:shd w:val="clear" w:color="auto" w:fill="BDD6EE"/>
            <w:vAlign w:val="center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ΠΑΡΑΤΗΡΗΣΕΙΣ</w:t>
            </w:r>
          </w:p>
        </w:tc>
      </w:tr>
      <w:tr w:rsidR="00046FAC" w:rsidTr="000C0CD6">
        <w:trPr>
          <w:jc w:val="center"/>
        </w:trPr>
        <w:tc>
          <w:tcPr>
            <w:tcW w:w="10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8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Τροφοδοσία: </w:t>
            </w:r>
            <w:r>
              <w:rPr>
                <w:sz w:val="20"/>
                <w:szCs w:val="20"/>
                <w:lang w:val="el-GR"/>
              </w:rPr>
              <w:t xml:space="preserve">400 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lang w:val="el-GR"/>
              </w:rPr>
              <w:t xml:space="preserve"> 3Φ: 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lang w:val="el-GR"/>
              </w:rPr>
              <w:t xml:space="preserve">1, 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lang w:val="el-GR"/>
              </w:rPr>
              <w:t xml:space="preserve">2, 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lang w:val="el-GR"/>
              </w:rPr>
              <w:t xml:space="preserve">3, 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Pe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41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6FAC" w:rsidTr="000C0CD6">
        <w:trPr>
          <w:jc w:val="center"/>
        </w:trPr>
        <w:tc>
          <w:tcPr>
            <w:tcW w:w="10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8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Ρεύμα και ισχύς εξόδου </w:t>
            </w:r>
            <w:r>
              <w:rPr>
                <w:b/>
                <w:sz w:val="20"/>
                <w:szCs w:val="20"/>
              </w:rPr>
              <w:t>DC</w:t>
            </w:r>
            <w:r>
              <w:rPr>
                <w:b/>
                <w:sz w:val="20"/>
                <w:szCs w:val="20"/>
                <w:lang w:val="el-GR"/>
              </w:rPr>
              <w:t xml:space="preserve">: </w:t>
            </w:r>
            <w:r>
              <w:rPr>
                <w:sz w:val="20"/>
                <w:szCs w:val="20"/>
                <w:lang w:val="el-GR"/>
              </w:rPr>
              <w:t>Μέγιστο 200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l-GR"/>
              </w:rPr>
              <w:t xml:space="preserve">, 60 </w:t>
            </w:r>
            <w:r>
              <w:rPr>
                <w:sz w:val="20"/>
                <w:szCs w:val="20"/>
              </w:rPr>
              <w:t>kW</w:t>
            </w:r>
          </w:p>
        </w:tc>
        <w:tc>
          <w:tcPr>
            <w:tcW w:w="11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41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6FAC" w:rsidTr="000C0CD6">
        <w:trPr>
          <w:jc w:val="center"/>
        </w:trPr>
        <w:tc>
          <w:tcPr>
            <w:tcW w:w="10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18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Ρεύμα και ισχύς εξόδου </w:t>
            </w:r>
            <w:r>
              <w:rPr>
                <w:b/>
                <w:sz w:val="20"/>
                <w:szCs w:val="20"/>
              </w:rPr>
              <w:t>AC</w:t>
            </w:r>
            <w:r>
              <w:rPr>
                <w:b/>
                <w:sz w:val="20"/>
                <w:szCs w:val="20"/>
                <w:lang w:val="el-GR"/>
              </w:rPr>
              <w:t xml:space="preserve">: </w:t>
            </w:r>
            <w:r>
              <w:rPr>
                <w:sz w:val="20"/>
                <w:szCs w:val="20"/>
                <w:lang w:val="el-GR"/>
              </w:rPr>
              <w:t xml:space="preserve">Μέγιστο 32 Α, 22 </w:t>
            </w:r>
            <w:r>
              <w:rPr>
                <w:sz w:val="20"/>
                <w:szCs w:val="20"/>
              </w:rPr>
              <w:t>kW</w:t>
            </w:r>
          </w:p>
        </w:tc>
        <w:tc>
          <w:tcPr>
            <w:tcW w:w="11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41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6FAC" w:rsidTr="000C0CD6">
        <w:trPr>
          <w:jc w:val="center"/>
        </w:trPr>
        <w:tc>
          <w:tcPr>
            <w:tcW w:w="10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18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Τάση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εξόδου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DC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150-1000Vdc</w:t>
            </w:r>
          </w:p>
        </w:tc>
        <w:tc>
          <w:tcPr>
            <w:tcW w:w="11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41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6FAC" w:rsidTr="000C0CD6">
        <w:trPr>
          <w:jc w:val="center"/>
        </w:trPr>
        <w:tc>
          <w:tcPr>
            <w:tcW w:w="10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18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Τάση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εξόδου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AC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400Vac±10%</w:t>
            </w:r>
          </w:p>
        </w:tc>
        <w:tc>
          <w:tcPr>
            <w:tcW w:w="11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41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6FAC" w:rsidTr="000C0CD6">
        <w:trPr>
          <w:jc w:val="center"/>
        </w:trPr>
        <w:tc>
          <w:tcPr>
            <w:tcW w:w="10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18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Καλώδιο φόρτισης </w:t>
            </w:r>
            <w:r>
              <w:rPr>
                <w:b/>
                <w:sz w:val="20"/>
                <w:szCs w:val="20"/>
              </w:rPr>
              <w:t>DC</w:t>
            </w:r>
            <w:r>
              <w:rPr>
                <w:b/>
                <w:sz w:val="20"/>
                <w:szCs w:val="20"/>
                <w:lang w:val="el-GR"/>
              </w:rPr>
              <w:t xml:space="preserve">: </w:t>
            </w:r>
            <w:r>
              <w:rPr>
                <w:sz w:val="20"/>
                <w:szCs w:val="20"/>
                <w:lang w:val="el-GR"/>
              </w:rPr>
              <w:t xml:space="preserve">Δύο καλώδια </w:t>
            </w:r>
            <w:r>
              <w:rPr>
                <w:sz w:val="20"/>
                <w:szCs w:val="20"/>
              </w:rPr>
              <w:t>CCS</w:t>
            </w:r>
            <w:r>
              <w:rPr>
                <w:sz w:val="20"/>
                <w:szCs w:val="20"/>
                <w:lang w:val="el-GR"/>
              </w:rPr>
              <w:t>2 5 μέτρων</w:t>
            </w:r>
          </w:p>
        </w:tc>
        <w:tc>
          <w:tcPr>
            <w:tcW w:w="11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41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6FAC" w:rsidTr="000C0CD6">
        <w:trPr>
          <w:jc w:val="center"/>
        </w:trPr>
        <w:tc>
          <w:tcPr>
            <w:tcW w:w="10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18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Πρίζα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φόρτισης</w:t>
            </w:r>
            <w:proofErr w:type="spellEnd"/>
            <w:r>
              <w:rPr>
                <w:b/>
                <w:sz w:val="20"/>
                <w:szCs w:val="20"/>
              </w:rPr>
              <w:t xml:space="preserve"> AC: </w:t>
            </w:r>
            <w:proofErr w:type="spellStart"/>
            <w:r>
              <w:rPr>
                <w:sz w:val="20"/>
                <w:szCs w:val="20"/>
              </w:rPr>
              <w:t>Τύπου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41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6FAC" w:rsidTr="000C0CD6">
        <w:trPr>
          <w:jc w:val="center"/>
        </w:trPr>
        <w:tc>
          <w:tcPr>
            <w:tcW w:w="10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18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Πρωτόκολλο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δεδομένων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OCPP1.6J</w:t>
            </w:r>
          </w:p>
        </w:tc>
        <w:tc>
          <w:tcPr>
            <w:tcW w:w="11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41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6FAC" w:rsidTr="000C0CD6">
        <w:trPr>
          <w:jc w:val="center"/>
        </w:trPr>
        <w:tc>
          <w:tcPr>
            <w:tcW w:w="10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18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proofErr w:type="spellStart"/>
            <w:r>
              <w:rPr>
                <w:b/>
                <w:sz w:val="20"/>
                <w:szCs w:val="20"/>
                <w:lang w:val="el-GR"/>
              </w:rPr>
              <w:t>Συνδεσιμότητά</w:t>
            </w:r>
            <w:proofErr w:type="spellEnd"/>
            <w:r>
              <w:rPr>
                <w:b/>
                <w:sz w:val="20"/>
                <w:szCs w:val="20"/>
                <w:lang w:val="el-GR"/>
              </w:rPr>
              <w:t xml:space="preserve"> δικτύου: </w:t>
            </w:r>
            <w:r>
              <w:rPr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Wifi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, </w:t>
            </w:r>
            <w:r>
              <w:rPr>
                <w:sz w:val="20"/>
                <w:szCs w:val="20"/>
              </w:rPr>
              <w:t>Ethernet</w:t>
            </w:r>
          </w:p>
        </w:tc>
        <w:tc>
          <w:tcPr>
            <w:tcW w:w="11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41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6FAC" w:rsidTr="000C0CD6">
        <w:trPr>
          <w:jc w:val="center"/>
        </w:trPr>
        <w:tc>
          <w:tcPr>
            <w:tcW w:w="10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18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RFID: </w:t>
            </w:r>
            <w:r>
              <w:rPr>
                <w:sz w:val="20"/>
                <w:szCs w:val="20"/>
                <w:lang w:val="en-US"/>
              </w:rPr>
              <w:t>ISO/IEC14443 A/B, ISO/IEC 18092, IEC/ISO 15693</w:t>
            </w:r>
          </w:p>
        </w:tc>
        <w:tc>
          <w:tcPr>
            <w:tcW w:w="11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41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6FAC" w:rsidTr="000C0CD6">
        <w:trPr>
          <w:jc w:val="center"/>
        </w:trPr>
        <w:tc>
          <w:tcPr>
            <w:tcW w:w="10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18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Οθόνη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7' LCD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αφής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41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6FAC" w:rsidTr="000C0CD6">
        <w:trPr>
          <w:jc w:val="center"/>
        </w:trPr>
        <w:tc>
          <w:tcPr>
            <w:tcW w:w="10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18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Θερμοκρασία λειτουργίας: </w:t>
            </w:r>
            <w:r>
              <w:rPr>
                <w:bCs/>
                <w:sz w:val="20"/>
                <w:szCs w:val="20"/>
                <w:lang w:val="el-GR"/>
              </w:rPr>
              <w:t>-</w:t>
            </w:r>
            <w:r>
              <w:rPr>
                <w:sz w:val="20"/>
                <w:szCs w:val="20"/>
                <w:lang w:val="el-GR"/>
              </w:rPr>
              <w:t>30 °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  <w:lang w:val="el-GR"/>
              </w:rPr>
              <w:t xml:space="preserve"> έως 50 °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1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41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6FAC" w:rsidTr="000C0CD6">
        <w:trPr>
          <w:jc w:val="center"/>
        </w:trPr>
        <w:tc>
          <w:tcPr>
            <w:tcW w:w="10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18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Θερμοκρασία αποθήκευσης: </w:t>
            </w:r>
            <w:r>
              <w:rPr>
                <w:sz w:val="20"/>
                <w:szCs w:val="20"/>
                <w:lang w:val="el-GR"/>
              </w:rPr>
              <w:t>-40 °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  <w:lang w:val="el-GR"/>
              </w:rPr>
              <w:t xml:space="preserve"> έως 70 °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1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41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6FAC" w:rsidTr="000C0CD6">
        <w:trPr>
          <w:jc w:val="center"/>
        </w:trPr>
        <w:tc>
          <w:tcPr>
            <w:tcW w:w="10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18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Υγρασία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λειτουργίας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5%~95% </w:t>
            </w:r>
            <w:proofErr w:type="spellStart"/>
            <w:r>
              <w:rPr>
                <w:sz w:val="20"/>
                <w:szCs w:val="20"/>
              </w:rPr>
              <w:t>χωρίς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συμπύκνωση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41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6FAC" w:rsidTr="000C0CD6">
        <w:trPr>
          <w:jc w:val="center"/>
        </w:trPr>
        <w:tc>
          <w:tcPr>
            <w:tcW w:w="10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18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Διαβάθμιση</w:t>
            </w:r>
            <w:proofErr w:type="spellEnd"/>
            <w:r>
              <w:rPr>
                <w:b/>
                <w:sz w:val="20"/>
                <w:szCs w:val="20"/>
              </w:rPr>
              <w:t xml:space="preserve"> IP/IK: </w:t>
            </w:r>
            <w:r>
              <w:rPr>
                <w:sz w:val="20"/>
                <w:szCs w:val="20"/>
              </w:rPr>
              <w:t>IP55/IK10</w:t>
            </w:r>
          </w:p>
        </w:tc>
        <w:tc>
          <w:tcPr>
            <w:tcW w:w="11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41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6FAC" w:rsidTr="000C0CD6">
        <w:trPr>
          <w:jc w:val="center"/>
        </w:trPr>
        <w:tc>
          <w:tcPr>
            <w:tcW w:w="10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18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Δυνατότητα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ταυτόχρονης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φόρτισης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οχημάτων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41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6FAC" w:rsidTr="000C0CD6">
        <w:trPr>
          <w:jc w:val="center"/>
        </w:trPr>
        <w:tc>
          <w:tcPr>
            <w:tcW w:w="10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18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Πρότυπα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και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συμμόρφωση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IEC</w:t>
            </w:r>
            <w:r>
              <w:rPr>
                <w:sz w:val="20"/>
                <w:szCs w:val="20"/>
              </w:rPr>
              <w:t xml:space="preserve"> 61851-1, </w:t>
            </w:r>
            <w:r>
              <w:rPr>
                <w:sz w:val="20"/>
                <w:szCs w:val="20"/>
                <w:lang w:val="en-US"/>
              </w:rPr>
              <w:t>IEC</w:t>
            </w:r>
            <w:r>
              <w:rPr>
                <w:sz w:val="20"/>
                <w:szCs w:val="20"/>
              </w:rPr>
              <w:t xml:space="preserve"> 61851-21-2, </w:t>
            </w:r>
            <w:r>
              <w:rPr>
                <w:sz w:val="20"/>
                <w:szCs w:val="20"/>
                <w:lang w:val="en-US"/>
              </w:rPr>
              <w:t>IEC</w:t>
            </w:r>
            <w:r>
              <w:rPr>
                <w:sz w:val="20"/>
                <w:szCs w:val="20"/>
              </w:rPr>
              <w:t xml:space="preserve"> 61851-23, </w:t>
            </w:r>
            <w:r>
              <w:rPr>
                <w:sz w:val="20"/>
                <w:szCs w:val="20"/>
                <w:lang w:val="en-US"/>
              </w:rPr>
              <w:t>LVD</w:t>
            </w:r>
            <w:r>
              <w:rPr>
                <w:sz w:val="20"/>
                <w:szCs w:val="20"/>
              </w:rPr>
              <w:t xml:space="preserve"> 2014/35/</w:t>
            </w:r>
            <w:r>
              <w:rPr>
                <w:sz w:val="20"/>
                <w:szCs w:val="20"/>
                <w:lang w:val="en-US"/>
              </w:rPr>
              <w:t>EU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RED</w:t>
            </w:r>
            <w:r>
              <w:rPr>
                <w:sz w:val="20"/>
                <w:szCs w:val="20"/>
              </w:rPr>
              <w:t xml:space="preserve"> 2014/53/</w:t>
            </w:r>
            <w:r>
              <w:rPr>
                <w:sz w:val="20"/>
                <w:szCs w:val="20"/>
                <w:lang w:val="en-US"/>
              </w:rPr>
              <w:t>EU</w:t>
            </w:r>
          </w:p>
        </w:tc>
        <w:tc>
          <w:tcPr>
            <w:tcW w:w="11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41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46FAC" w:rsidTr="000C0CD6">
        <w:trPr>
          <w:jc w:val="center"/>
        </w:trPr>
        <w:tc>
          <w:tcPr>
            <w:tcW w:w="10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18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Πιστοποιητικά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CE,CB,UKCA</w:t>
            </w:r>
          </w:p>
        </w:tc>
        <w:tc>
          <w:tcPr>
            <w:tcW w:w="1176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  <w:tc>
          <w:tcPr>
            <w:tcW w:w="141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46FAC" w:rsidRDefault="00046FAC" w:rsidP="000C0CD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046FAC" w:rsidRPr="00046FAC" w:rsidRDefault="00046FAC" w:rsidP="00046FAC">
      <w:pPr>
        <w:rPr>
          <w:lang w:val="el-GR"/>
        </w:rPr>
      </w:pPr>
    </w:p>
    <w:sectPr w:rsidR="00046FAC" w:rsidRPr="00046FAC" w:rsidSect="00046FAC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FAC"/>
    <w:rsid w:val="00046FAC"/>
    <w:rsid w:val="00CF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A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0"/>
    <w:next w:val="a"/>
    <w:link w:val="1Char"/>
    <w:uiPriority w:val="9"/>
    <w:qFormat/>
    <w:rsid w:val="00046FAC"/>
    <w:pPr>
      <w:spacing w:after="0" w:line="360" w:lineRule="auto"/>
      <w:jc w:val="center"/>
      <w:outlineLvl w:val="0"/>
    </w:pPr>
    <w:rPr>
      <w:rFonts w:cs="Calibri"/>
      <w:b/>
      <w:sz w:val="24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Ευρετήριο"/>
    <w:basedOn w:val="a"/>
    <w:qFormat/>
    <w:rsid w:val="00046FAC"/>
    <w:pPr>
      <w:suppressLineNumbers/>
    </w:pPr>
    <w:rPr>
      <w:rFonts w:cs="Mangal"/>
    </w:rPr>
  </w:style>
  <w:style w:type="character" w:customStyle="1" w:styleId="1Char">
    <w:name w:val="Επικεφαλίδα 1 Char"/>
    <w:basedOn w:val="a1"/>
    <w:link w:val="1"/>
    <w:uiPriority w:val="9"/>
    <w:rsid w:val="00046FAC"/>
    <w:rPr>
      <w:rFonts w:ascii="Calibri" w:eastAsia="Times New Roman" w:hAnsi="Calibri" w:cs="Calibri"/>
      <w:b/>
      <w:sz w:val="24"/>
      <w:szCs w:val="24"/>
      <w:lang w:eastAsia="ar-SA"/>
    </w:rPr>
  </w:style>
  <w:style w:type="paragraph" w:styleId="a4">
    <w:name w:val="Document Map"/>
    <w:basedOn w:val="a"/>
    <w:link w:val="Char"/>
    <w:uiPriority w:val="99"/>
    <w:semiHidden/>
    <w:unhideWhenUsed/>
    <w:rsid w:val="00046FAC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1"/>
    <w:link w:val="a4"/>
    <w:uiPriority w:val="99"/>
    <w:semiHidden/>
    <w:rsid w:val="00046FAC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5">
    <w:name w:val="Body Text"/>
    <w:basedOn w:val="a"/>
    <w:link w:val="Char0"/>
    <w:uiPriority w:val="1"/>
    <w:qFormat/>
    <w:rsid w:val="00046FAC"/>
    <w:pPr>
      <w:spacing w:after="240"/>
    </w:pPr>
    <w:rPr>
      <w:rFonts w:cs="Times New Roman"/>
    </w:rPr>
  </w:style>
  <w:style w:type="character" w:customStyle="1" w:styleId="Char0">
    <w:name w:val="Σώμα κειμένου Char"/>
    <w:basedOn w:val="a1"/>
    <w:link w:val="a5"/>
    <w:uiPriority w:val="1"/>
    <w:qFormat/>
    <w:rsid w:val="00046FAC"/>
    <w:rPr>
      <w:rFonts w:ascii="Calibri" w:eastAsia="Times New Roman" w:hAnsi="Calibri" w:cs="Times New Roman"/>
      <w:szCs w:val="24"/>
      <w:lang w:val="en-GB" w:eastAsia="ar-SA"/>
    </w:rPr>
  </w:style>
  <w:style w:type="paragraph" w:styleId="a6">
    <w:name w:val="List Paragraph"/>
    <w:aliases w:val="Γράφημα,Bullet21,Bullet22,Bullet23,Bullet211,Bullet24,Bullet25,Bullet26,Bullet27,bl11,Bullet212,Bullet28,bl12,Bullet213,Bullet29,bl13,Bullet214,Bullet210,Bullet215,Bullet216,bl14,Bullet221,Bullet2,Bullet List,FooterText,numbered,列出段落"/>
    <w:basedOn w:val="a"/>
    <w:link w:val="Char1"/>
    <w:uiPriority w:val="34"/>
    <w:qFormat/>
    <w:rsid w:val="00046FAC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/>
    </w:rPr>
  </w:style>
  <w:style w:type="character" w:customStyle="1" w:styleId="Char1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6"/>
    <w:uiPriority w:val="34"/>
    <w:qFormat/>
    <w:locked/>
    <w:rsid w:val="00046FAC"/>
    <w:rPr>
      <w:rFonts w:ascii="CG Times" w:eastAsia="Times New Roman" w:hAnsi="CG Times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669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Maragou</dc:creator>
  <cp:keywords/>
  <dc:description/>
  <cp:lastModifiedBy>Georgia Maragou</cp:lastModifiedBy>
  <cp:revision>2</cp:revision>
  <dcterms:created xsi:type="dcterms:W3CDTF">2023-06-14T04:56:00Z</dcterms:created>
  <dcterms:modified xsi:type="dcterms:W3CDTF">2023-06-14T05:01:00Z</dcterms:modified>
</cp:coreProperties>
</file>